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CF19E" w14:textId="0DA569A1" w:rsidR="00260A59" w:rsidRDefault="00260A59" w:rsidP="00260A5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283F51">
        <w:rPr>
          <w:rFonts w:ascii="Arial" w:hAnsi="Arial" w:cs="Arial"/>
          <w:b/>
          <w:bCs/>
        </w:rPr>
        <w:t>7772</w:t>
      </w:r>
    </w:p>
    <w:p w14:paraId="654E08C5" w14:textId="77777777" w:rsidR="00260A59" w:rsidRPr="00210D4C" w:rsidRDefault="00260A59" w:rsidP="00260A59">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F2319A4" w:rsidR="00145E5A" w:rsidRDefault="00145E5A" w:rsidP="00311702">
      <w:pPr>
        <w:pStyle w:val="3GPPHeader"/>
      </w:pPr>
    </w:p>
    <w:p w14:paraId="5FB7E722" w14:textId="705EC2B1"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260A59">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64E4D97" w:rsidR="00531215" w:rsidRPr="00764EBC" w:rsidRDefault="003D3C45" w:rsidP="00311702">
      <w:pPr>
        <w:pStyle w:val="3GPPHeader"/>
      </w:pPr>
      <w:r w:rsidRPr="00764EBC">
        <w:t>Title:</w:t>
      </w:r>
      <w:r w:rsidR="00E90E49" w:rsidRPr="00764EBC">
        <w:tab/>
      </w:r>
      <w:r w:rsidR="0017719F">
        <w:t xml:space="preserve">On </w:t>
      </w:r>
      <w:r w:rsidR="00495F3B">
        <w:t>Tim</w:t>
      </w:r>
      <w:r w:rsidR="00F2608D">
        <w:t>e and Frequency Synchronization</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DFE9D9F" w14:textId="714745FD" w:rsidR="00260A59" w:rsidRDefault="00260A59" w:rsidP="00260A59">
      <w:pPr>
        <w:jc w:val="both"/>
      </w:pPr>
      <w:r>
        <w:t xml:space="preserve">The study of NB-IoT/eMTC support for NTN was concluded </w:t>
      </w:r>
      <w:r>
        <w:fldChar w:fldCharType="begin"/>
      </w:r>
      <w:r>
        <w:instrText xml:space="preserve"> REF _Ref46861923 \r \h </w:instrText>
      </w:r>
      <w:r>
        <w:fldChar w:fldCharType="separate"/>
      </w:r>
      <w:r w:rsidR="00C12DBE">
        <w:t>[1]</w:t>
      </w:r>
      <w:r>
        <w:fldChar w:fldCharType="end"/>
      </w:r>
      <w:r>
        <w:t xml:space="preserve">. Several topics were identified for further work in Release 17. This is summarized in the work item descriptions </w:t>
      </w:r>
      <w:r>
        <w:fldChar w:fldCharType="begin"/>
      </w:r>
      <w:r>
        <w:instrText xml:space="preserve"> REF _Ref78287450 \r \h </w:instrText>
      </w:r>
      <w:r>
        <w:fldChar w:fldCharType="separate"/>
      </w:r>
      <w:r w:rsidR="00C12DBE">
        <w:t>[2]</w:t>
      </w:r>
      <w:r>
        <w:fldChar w:fldCharType="end"/>
      </w:r>
      <w:r>
        <w:t xml:space="preserve">. </w:t>
      </w:r>
    </w:p>
    <w:p w14:paraId="5BF1DD30" w14:textId="77777777" w:rsidR="00260A59" w:rsidRDefault="00260A59" w:rsidP="00260A59">
      <w:pPr>
        <w:jc w:val="both"/>
      </w:pPr>
    </w:p>
    <w:p w14:paraId="68BF6129" w14:textId="05DFC609" w:rsidR="00260A59" w:rsidRDefault="00260A59" w:rsidP="00260A59">
      <w:pPr>
        <w:jc w:val="both"/>
      </w:pPr>
      <w:r>
        <w:t xml:space="preserve">One RAN1 objective of this work item is to specify the time and frequency synchronization enhancement that are not covered by NR NTN. This include long PUSCH and PRACH transmission enhancements, validity timer for UL synchronization, DL synchronization enhancements and GNSS measurements. </w:t>
      </w:r>
    </w:p>
    <w:p w14:paraId="10FF6339" w14:textId="77777777" w:rsidR="00260A59" w:rsidRPr="00E75532" w:rsidRDefault="00260A59" w:rsidP="00260A59">
      <w:pPr>
        <w:jc w:val="both"/>
        <w:rPr>
          <w:szCs w:val="20"/>
        </w:rPr>
      </w:pPr>
    </w:p>
    <w:p w14:paraId="308E48D1" w14:textId="056F45F0" w:rsidR="00260A59" w:rsidRPr="009C0798" w:rsidRDefault="00260A59" w:rsidP="00260A59">
      <w:pPr>
        <w:spacing w:after="180"/>
        <w:contextualSpacing/>
        <w:jc w:val="both"/>
        <w:rPr>
          <w:szCs w:val="20"/>
        </w:rPr>
      </w:pPr>
      <w:r>
        <w:rPr>
          <w:szCs w:val="20"/>
        </w:rPr>
        <w:t xml:space="preserve">In this contribution, we provide our views on </w:t>
      </w:r>
      <w:r w:rsidRPr="003470D4">
        <w:rPr>
          <w:szCs w:val="20"/>
        </w:rPr>
        <w:t>the topics of</w:t>
      </w:r>
      <w:r>
        <w:rPr>
          <w:szCs w:val="20"/>
        </w:rPr>
        <w:t xml:space="preserve"> time and frequency synchronization enhancement, including</w:t>
      </w:r>
      <w:r w:rsidR="008E5F35">
        <w:rPr>
          <w:szCs w:val="20"/>
        </w:rPr>
        <w:t xml:space="preserve"> long PUSCH and PRACH transmission enhancements, validity timer of satellite ephemeris, DL synchronization enhancement and GNSS measurements</w:t>
      </w:r>
      <w:r>
        <w:rPr>
          <w:szCs w:val="20"/>
        </w:rPr>
        <w:t>.</w:t>
      </w:r>
    </w:p>
    <w:p w14:paraId="2737EA15" w14:textId="46DA8FA6" w:rsidR="00355ACF" w:rsidRDefault="00EA5A5B" w:rsidP="00CA376E">
      <w:pPr>
        <w:pStyle w:val="Heading1"/>
      </w:pPr>
      <w:r>
        <w:t>Discussion</w:t>
      </w:r>
    </w:p>
    <w:p w14:paraId="5E7CF6DF" w14:textId="7E31241F" w:rsidR="00A03218" w:rsidRDefault="00A03218" w:rsidP="00F2608D">
      <w:pPr>
        <w:jc w:val="both"/>
        <w:rPr>
          <w:bCs/>
          <w:iCs/>
        </w:rPr>
      </w:pPr>
      <w:r w:rsidRPr="00A03218">
        <w:rPr>
          <w:bCs/>
          <w:iCs/>
        </w:rPr>
        <w:t xml:space="preserve">In </w:t>
      </w:r>
      <w:r>
        <w:rPr>
          <w:bCs/>
          <w:iCs/>
        </w:rPr>
        <w:t xml:space="preserve">terrestrial network </w:t>
      </w:r>
      <w:r w:rsidRPr="00A03218">
        <w:rPr>
          <w:bCs/>
          <w:iCs/>
        </w:rPr>
        <w:t xml:space="preserve">IoT, an uplink compensation gap exists during the long PUSCH or PRACH transmissions. </w:t>
      </w:r>
      <w:r>
        <w:rPr>
          <w:bCs/>
          <w:iCs/>
        </w:rPr>
        <w:t>T</w:t>
      </w:r>
      <w:r w:rsidRPr="00A03218">
        <w:rPr>
          <w:bCs/>
          <w:iCs/>
        </w:rPr>
        <w:t>his uplink compensation gap of 40 ms allows UE to re-synchronize on downlink signaling when the long PUSCH or PRACH transmission exceeds 256 ms.</w:t>
      </w:r>
    </w:p>
    <w:p w14:paraId="0F0BA88C" w14:textId="4D4DAB2C" w:rsidR="00D36932" w:rsidRDefault="00D36932" w:rsidP="00F2608D">
      <w:pPr>
        <w:jc w:val="both"/>
        <w:rPr>
          <w:bCs/>
          <w:iCs/>
        </w:rPr>
      </w:pPr>
    </w:p>
    <w:p w14:paraId="749C4D11" w14:textId="14AB3F4A" w:rsidR="00D36932" w:rsidRDefault="00D36932" w:rsidP="00F2608D">
      <w:pPr>
        <w:jc w:val="both"/>
      </w:pPr>
      <w:r>
        <w:rPr>
          <w:bCs/>
          <w:iCs/>
        </w:rPr>
        <w:t xml:space="preserve">In IoT NTN, due to satellite movement, the largest timing drift rate can be as large as 40 </w:t>
      </w:r>
      <m:oMath>
        <m:r>
          <w:rPr>
            <w:rFonts w:ascii="Cambria Math" w:hAnsi="Cambria Math"/>
          </w:rPr>
          <m:t>μs/s</m:t>
        </m:r>
      </m:oMath>
      <w:r w:rsidR="00BC0D18">
        <w:t xml:space="preserve"> </w:t>
      </w:r>
      <w:r w:rsidR="00BC0D18">
        <w:fldChar w:fldCharType="begin"/>
      </w:r>
      <w:r w:rsidR="00BC0D18">
        <w:instrText xml:space="preserve"> REF _Ref53646739 \r \h </w:instrText>
      </w:r>
      <w:r w:rsidR="00BC0D18">
        <w:fldChar w:fldCharType="separate"/>
      </w:r>
      <w:r w:rsidR="00C12DBE">
        <w:t>[3]</w:t>
      </w:r>
      <w:r w:rsidR="00BC0D18">
        <w:fldChar w:fldCharType="end"/>
      </w:r>
      <w:r w:rsidR="00BC0D18">
        <w:t xml:space="preserve">. This implies large TA variation during a long PUSCH or PRACH transmission. Consider an example that UE transmits a long PUSCH or PRACH for 256 ms in condition of timing drift rate of 20 </w:t>
      </w:r>
      <m:oMath>
        <m:r>
          <w:rPr>
            <w:rFonts w:ascii="Cambria Math" w:hAnsi="Cambria Math"/>
          </w:rPr>
          <m:t>μs/s</m:t>
        </m:r>
      </m:oMath>
      <w:r w:rsidR="00BC0D18">
        <w:t>. Then timing is drifted</w:t>
      </w:r>
      <w:r w:rsidR="00BC0D18">
        <w:rPr>
          <w:bCs/>
          <w:iCs/>
        </w:rPr>
        <w:t xml:space="preserve"> </w:t>
      </w:r>
      <w:r w:rsidR="00BC0D18" w:rsidRPr="00D36932">
        <w:rPr>
          <w:bCs/>
          <w:iCs/>
        </w:rPr>
        <w:t xml:space="preserve">5.12 </w:t>
      </w:r>
      <m:oMath>
        <m:r>
          <w:rPr>
            <w:rFonts w:ascii="Cambria Math" w:hAnsi="Cambria Math"/>
          </w:rPr>
          <m:t>μs</m:t>
        </m:r>
      </m:oMath>
      <w:r w:rsidR="00BC0D18">
        <w:t xml:space="preserve">, which is larger than cyclic prefix length. </w:t>
      </w:r>
      <w:r w:rsidR="0060121B">
        <w:t xml:space="preserve">Furthermore, this timing error value is much larger than the existing transmit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0060121B">
        <w:t xml:space="preserve">, which is 2.6 </w:t>
      </w:r>
      <m:oMath>
        <m:r>
          <w:rPr>
            <w:rFonts w:ascii="Cambria Math" w:hAnsi="Cambria Math"/>
          </w:rPr>
          <m:t>μs</m:t>
        </m:r>
      </m:oMath>
      <w:r w:rsidR="0060121B">
        <w:t xml:space="preserve"> for NB-IoT or 0.78 </w:t>
      </w:r>
      <m:oMath>
        <m:r>
          <w:rPr>
            <w:rFonts w:ascii="Cambria Math" w:hAnsi="Cambria Math"/>
          </w:rPr>
          <m:t>μs</m:t>
        </m:r>
      </m:oMath>
      <w:r w:rsidR="0060121B">
        <w:t xml:space="preserve"> for eMTC. To keep the uplink transmit timing error below 50% of CP length (i.e., 4.7 </w:t>
      </w:r>
      <m:oMath>
        <m:r>
          <w:rPr>
            <w:rFonts w:ascii="Cambria Math" w:hAnsi="Cambria Math"/>
          </w:rPr>
          <m:t>μs</m:t>
        </m:r>
      </m:oMath>
      <w:r w:rsidR="0060121B">
        <w:t xml:space="preserve"> for 15 kHz SCS), the continuous uplink transmission without adjusting TA should be (4.7 </w:t>
      </w:r>
      <m:oMath>
        <m:r>
          <w:rPr>
            <w:rFonts w:ascii="Cambria Math" w:hAnsi="Cambria Math"/>
          </w:rPr>
          <m:t>μs</m:t>
        </m:r>
      </m:oMath>
      <w:r w:rsidR="0060121B">
        <w:t xml:space="preserve"> *50%) / (40 </w:t>
      </w:r>
      <m:oMath>
        <m:r>
          <w:rPr>
            <w:rFonts w:ascii="Cambria Math" w:hAnsi="Cambria Math"/>
          </w:rPr>
          <m:t>μs/s</m:t>
        </m:r>
      </m:oMath>
      <w:r w:rsidR="0060121B">
        <w:t xml:space="preserve">) =57.5 ms.  </w:t>
      </w:r>
    </w:p>
    <w:p w14:paraId="6B6FFECB" w14:textId="77777777" w:rsidR="00C12DBE" w:rsidRDefault="00C12DBE" w:rsidP="00F2608D">
      <w:pPr>
        <w:jc w:val="both"/>
      </w:pPr>
    </w:p>
    <w:p w14:paraId="60B1AD20" w14:textId="60DE3A4B" w:rsidR="007548F4" w:rsidRDefault="0060121B" w:rsidP="00F2608D">
      <w:pPr>
        <w:jc w:val="both"/>
      </w:pPr>
      <w:r>
        <w:t>On</w:t>
      </w:r>
      <w:r w:rsidR="007548F4">
        <w:t xml:space="preserve"> the</w:t>
      </w:r>
      <w:r>
        <w:t xml:space="preserve"> other hand, the </w:t>
      </w:r>
      <w:r w:rsidR="00C12DBE">
        <w:t xml:space="preserve">timing drift rate has the impact of phase discontinuity. The degree of phase discontinuity linearly increases with timing drift rate and sampling frequency </w:t>
      </w:r>
      <w:r w:rsidR="00C12DBE">
        <w:fldChar w:fldCharType="begin"/>
      </w:r>
      <w:r w:rsidR="00C12DBE">
        <w:instrText xml:space="preserve"> REF _Ref65578963 \r \h </w:instrText>
      </w:r>
      <w:r w:rsidR="00C12DBE">
        <w:fldChar w:fldCharType="separate"/>
      </w:r>
      <w:r w:rsidR="00C12DBE">
        <w:t>[4]</w:t>
      </w:r>
      <w:r w:rsidR="00C12DBE">
        <w:fldChar w:fldCharType="end"/>
      </w:r>
      <w:r w:rsidR="00C12DBE">
        <w:t xml:space="preserve">, i.e., </w:t>
      </w:r>
      <w:r w:rsidR="00C12DBE" w:rsidRPr="00C12DBE">
        <w:rPr>
          <w:i/>
          <w:iCs/>
        </w:rPr>
        <w:t>phase discontinuity = timing drift rate * sampling frequency *360 degree</w:t>
      </w:r>
      <w:r w:rsidR="00C12DBE">
        <w:t xml:space="preserve">. Consider the NB-IoT </w:t>
      </w:r>
      <w:r w:rsidR="007548F4">
        <w:t xml:space="preserve">with </w:t>
      </w:r>
      <w:r w:rsidR="00C12DBE">
        <w:t xml:space="preserve">sampling frequency of 180 kHz/2 and timing drift rate of 40 </w:t>
      </w:r>
      <m:oMath>
        <m:r>
          <w:rPr>
            <w:rFonts w:ascii="Cambria Math" w:hAnsi="Cambria Math"/>
          </w:rPr>
          <m:t>μs/s</m:t>
        </m:r>
      </m:oMath>
      <w:r w:rsidR="00C12DBE">
        <w:t>, the phase discontinuity is about 1.3 degree after 1 ms</w:t>
      </w:r>
      <w:r w:rsidR="007548F4">
        <w:t xml:space="preserve">. Consider the eMTC with sampling frequency of 1.4 MHz/2 and timing drift rate of 40 </w:t>
      </w:r>
      <m:oMath>
        <m:r>
          <w:rPr>
            <w:rFonts w:ascii="Cambria Math" w:hAnsi="Cambria Math"/>
          </w:rPr>
          <m:t>μs/s</m:t>
        </m:r>
      </m:oMath>
      <w:r w:rsidR="007548F4">
        <w:t xml:space="preserve">, the phase discontinuity is about 10 degrees after 1ms. </w:t>
      </w:r>
    </w:p>
    <w:p w14:paraId="3A566BDE" w14:textId="77777777" w:rsidR="007548F4" w:rsidRDefault="007548F4" w:rsidP="00F2608D">
      <w:pPr>
        <w:jc w:val="both"/>
      </w:pPr>
    </w:p>
    <w:p w14:paraId="22297018" w14:textId="7900A8AF" w:rsidR="005B2F07" w:rsidRDefault="007548F4" w:rsidP="00F2608D">
      <w:pPr>
        <w:jc w:val="both"/>
      </w:pPr>
      <w:r>
        <w:t>To keep the uplink transmission timing error and phase discontinuity within a certain budget, it is preferred to introduce segmented UE pre-compensation via more frequen</w:t>
      </w:r>
      <w:r w:rsidR="008E5F35">
        <w:t>t</w:t>
      </w:r>
      <w:r>
        <w:t xml:space="preserve"> new uplink gaps (i.e., with periodicity smaller than 256 ms).</w:t>
      </w:r>
      <w:r w:rsidR="005B2F07">
        <w:t xml:space="preserve"> UE makes use of this uplink gap to adjust its transmission timing </w:t>
      </w:r>
      <w:r w:rsidR="005B2F07">
        <w:lastRenderedPageBreak/>
        <w:t xml:space="preserve">advance so that the uplink transmission timing error is below the targeted budget. Also, the phase discontinuity issue is addressed with the uplink gap. </w:t>
      </w:r>
    </w:p>
    <w:p w14:paraId="56D12CB4" w14:textId="77777777" w:rsidR="005B2F07" w:rsidRDefault="005B2F07" w:rsidP="00F2608D">
      <w:pPr>
        <w:jc w:val="both"/>
      </w:pPr>
    </w:p>
    <w:p w14:paraId="18B145F9" w14:textId="0E90C713" w:rsidR="0060121B" w:rsidRDefault="005B2F07" w:rsidP="00F2608D">
      <w:pPr>
        <w:jc w:val="both"/>
      </w:pPr>
      <w:r>
        <w:t>There is a proposal to</w:t>
      </w:r>
      <w:r w:rsidR="007548F4">
        <w:t xml:space="preserve"> achieve segmented UE pre-compensation via UE implementation. Specifically, UE could adjust its sampling rate to avoid phase discontinuity issue. However, this increases the complexity </w:t>
      </w:r>
      <w:r>
        <w:t>of UE and is not preferr</w:t>
      </w:r>
      <w:r w:rsidR="008E5F35">
        <w:t>ed</w:t>
      </w:r>
      <w:r>
        <w:t xml:space="preserve">. </w:t>
      </w:r>
    </w:p>
    <w:p w14:paraId="453ACB63" w14:textId="77777777" w:rsidR="0060121B" w:rsidRDefault="0060121B" w:rsidP="00F2608D">
      <w:pPr>
        <w:jc w:val="both"/>
      </w:pPr>
    </w:p>
    <w:p w14:paraId="574F5F81" w14:textId="6F4E3823" w:rsidR="0060121B" w:rsidRDefault="005B2F07" w:rsidP="00F2608D">
      <w:pPr>
        <w:jc w:val="both"/>
        <w:rPr>
          <w:bCs/>
          <w:iCs/>
        </w:rPr>
      </w:pPr>
      <w:r w:rsidRPr="00284812">
        <w:rPr>
          <w:b/>
          <w:i/>
          <w:u w:val="single"/>
        </w:rPr>
        <w:t xml:space="preserve">Proposal </w:t>
      </w:r>
      <w:r>
        <w:rPr>
          <w:b/>
          <w:i/>
          <w:u w:val="single"/>
        </w:rPr>
        <w:t>1</w:t>
      </w:r>
      <w:r w:rsidRPr="00284812">
        <w:rPr>
          <w:b/>
          <w:i/>
          <w:u w:val="single"/>
        </w:rPr>
        <w:t>:</w:t>
      </w:r>
      <w:r w:rsidRPr="00284812">
        <w:rPr>
          <w:i/>
        </w:rPr>
        <w:t xml:space="preserve"> </w:t>
      </w:r>
      <w:r>
        <w:rPr>
          <w:i/>
        </w:rPr>
        <w:t>In long PRACH or long PUSCH transmissions, introduce more frequent uplink gap</w:t>
      </w:r>
      <w:r w:rsidR="009D7345">
        <w:rPr>
          <w:i/>
        </w:rPr>
        <w:t>s</w:t>
      </w:r>
      <w:r>
        <w:rPr>
          <w:i/>
        </w:rPr>
        <w:t>.</w:t>
      </w:r>
    </w:p>
    <w:p w14:paraId="663FECE4" w14:textId="5F357D24" w:rsidR="00A03218" w:rsidRDefault="00A03218" w:rsidP="00F2608D">
      <w:pPr>
        <w:jc w:val="both"/>
        <w:rPr>
          <w:bCs/>
          <w:iCs/>
        </w:rPr>
      </w:pPr>
    </w:p>
    <w:p w14:paraId="18AE690E" w14:textId="77777777" w:rsidR="007548F4" w:rsidRDefault="00A03218" w:rsidP="00F2608D">
      <w:pPr>
        <w:jc w:val="both"/>
        <w:rPr>
          <w:bCs/>
          <w:iCs/>
        </w:rPr>
      </w:pPr>
      <w:r>
        <w:rPr>
          <w:bCs/>
          <w:iCs/>
        </w:rPr>
        <w:t xml:space="preserve">It was agreed </w:t>
      </w:r>
      <w:r w:rsidR="00C12DBE">
        <w:rPr>
          <w:bCs/>
          <w:iCs/>
        </w:rPr>
        <w:fldChar w:fldCharType="begin"/>
      </w:r>
      <w:r w:rsidR="00C12DBE">
        <w:rPr>
          <w:bCs/>
          <w:iCs/>
        </w:rPr>
        <w:instrText xml:space="preserve"> REF _Ref78446270 \r \h </w:instrText>
      </w:r>
      <w:r w:rsidR="00C12DBE">
        <w:rPr>
          <w:bCs/>
          <w:iCs/>
        </w:rPr>
      </w:r>
      <w:r w:rsidR="00C12DBE">
        <w:rPr>
          <w:bCs/>
          <w:iCs/>
        </w:rPr>
        <w:fldChar w:fldCharType="separate"/>
      </w:r>
      <w:r w:rsidR="00C12DBE">
        <w:rPr>
          <w:bCs/>
          <w:iCs/>
        </w:rPr>
        <w:t>[5]</w:t>
      </w:r>
      <w:r w:rsidR="00C12DBE">
        <w:rPr>
          <w:bCs/>
          <w:iCs/>
        </w:rPr>
        <w:fldChar w:fldCharType="end"/>
      </w:r>
      <w:r>
        <w:rPr>
          <w:bCs/>
          <w:iCs/>
        </w:rPr>
        <w:t xml:space="preserve"> that UE pre-compensate</w:t>
      </w:r>
      <w:r w:rsidR="0057475F">
        <w:rPr>
          <w:bCs/>
          <w:iCs/>
        </w:rPr>
        <w:t>s</w:t>
      </w:r>
      <w:r>
        <w:rPr>
          <w:bCs/>
          <w:iCs/>
        </w:rPr>
        <w:t xml:space="preserve"> the same time and frequency shift for</w:t>
      </w:r>
      <m:oMath>
        <m:r>
          <w:rPr>
            <w:rFonts w:ascii="Cambria Math" w:hAnsi="Cambria Math"/>
          </w:rPr>
          <m:t xml:space="preserve"> N</m:t>
        </m:r>
      </m:oMath>
      <w:r w:rsidR="0057475F">
        <w:rPr>
          <w:bCs/>
          <w:iCs/>
        </w:rPr>
        <w:t xml:space="preserve"> </w:t>
      </w:r>
      <w:r>
        <w:rPr>
          <w:bCs/>
          <w:iCs/>
        </w:rPr>
        <w:t>time units in long PUSCH or PRACH transmissions.</w:t>
      </w:r>
      <w:r w:rsidR="00BC0D18">
        <w:rPr>
          <w:bCs/>
          <w:iCs/>
        </w:rPr>
        <w:t xml:space="preserve"> The design of </w:t>
      </w:r>
      <m:oMath>
        <m:r>
          <w:rPr>
            <w:rFonts w:ascii="Cambria Math" w:hAnsi="Cambria Math"/>
          </w:rPr>
          <m:t>N</m:t>
        </m:r>
      </m:oMath>
      <w:r w:rsidR="00BC0D18">
        <w:rPr>
          <w:bCs/>
          <w:iCs/>
        </w:rPr>
        <w:t xml:space="preserve"> time units is such that the time and frequency drift during these </w:t>
      </w:r>
      <m:oMath>
        <m:r>
          <w:rPr>
            <w:rFonts w:ascii="Cambria Math" w:hAnsi="Cambria Math"/>
          </w:rPr>
          <m:t>N</m:t>
        </m:r>
      </m:oMath>
      <w:r w:rsidR="00BC0D18">
        <w:rPr>
          <w:bCs/>
          <w:iCs/>
        </w:rPr>
        <w:t xml:space="preserve"> time units is not large. The definition and value of </w:t>
      </w:r>
      <m:oMath>
        <m:r>
          <w:rPr>
            <w:rFonts w:ascii="Cambria Math" w:hAnsi="Cambria Math"/>
          </w:rPr>
          <m:t>N</m:t>
        </m:r>
      </m:oMath>
      <w:r w:rsidR="00BC0D18">
        <w:rPr>
          <w:bCs/>
          <w:iCs/>
        </w:rPr>
        <w:t xml:space="preserve"> </w:t>
      </w:r>
      <w:r w:rsidR="0057475F">
        <w:rPr>
          <w:bCs/>
          <w:iCs/>
        </w:rPr>
        <w:t>are</w:t>
      </w:r>
      <w:r w:rsidR="00BC0D18">
        <w:rPr>
          <w:bCs/>
          <w:iCs/>
        </w:rPr>
        <w:t xml:space="preserve"> open. </w:t>
      </w:r>
    </w:p>
    <w:p w14:paraId="20F7682E" w14:textId="77777777" w:rsidR="007548F4" w:rsidRDefault="007548F4" w:rsidP="00F2608D">
      <w:pPr>
        <w:jc w:val="both"/>
        <w:rPr>
          <w:bCs/>
          <w:iCs/>
        </w:rPr>
      </w:pPr>
    </w:p>
    <w:p w14:paraId="383F7FC4" w14:textId="50C18F50" w:rsidR="008E7303" w:rsidRDefault="00BC0D18" w:rsidP="00F2608D">
      <w:pPr>
        <w:jc w:val="both"/>
        <w:rPr>
          <w:bCs/>
          <w:iCs/>
        </w:rPr>
      </w:pPr>
      <w:r>
        <w:rPr>
          <w:bCs/>
          <w:iCs/>
        </w:rPr>
        <w:t xml:space="preserve">In our view, the value of </w:t>
      </w:r>
      <m:oMath>
        <m:r>
          <w:rPr>
            <w:rFonts w:ascii="Cambria Math" w:hAnsi="Cambria Math"/>
          </w:rPr>
          <m:t>N</m:t>
        </m:r>
      </m:oMath>
      <w:r>
        <w:rPr>
          <w:bCs/>
          <w:iCs/>
        </w:rPr>
        <w:t xml:space="preserve"> depends on deployment scenario. For example, the value of </w:t>
      </w:r>
      <m:oMath>
        <m:r>
          <w:rPr>
            <w:rFonts w:ascii="Cambria Math" w:hAnsi="Cambria Math"/>
          </w:rPr>
          <m:t>N</m:t>
        </m:r>
      </m:oMath>
      <w:r>
        <w:rPr>
          <w:bCs/>
          <w:iCs/>
        </w:rPr>
        <w:t xml:space="preserve"> is large in GEO due to the negligible timing drift rate, while the value of </w:t>
      </w:r>
      <m:oMath>
        <m:r>
          <w:rPr>
            <w:rFonts w:ascii="Cambria Math" w:hAnsi="Cambria Math"/>
          </w:rPr>
          <m:t>N</m:t>
        </m:r>
      </m:oMath>
      <w:r>
        <w:rPr>
          <w:bCs/>
          <w:iCs/>
        </w:rPr>
        <w:t xml:space="preserve"> is small in LEO due to the large timing drift rate. Even with the same deployment scenario</w:t>
      </w:r>
      <w:r w:rsidR="008E7303">
        <w:rPr>
          <w:bCs/>
          <w:iCs/>
        </w:rPr>
        <w:t xml:space="preserve"> (e.g. in LEO)</w:t>
      </w:r>
      <w:r>
        <w:rPr>
          <w:bCs/>
          <w:iCs/>
        </w:rPr>
        <w:t>, the timing drift rate</w:t>
      </w:r>
      <w:r w:rsidR="008E7303">
        <w:rPr>
          <w:bCs/>
          <w:iCs/>
        </w:rPr>
        <w:t xml:space="preserve"> varies with time</w:t>
      </w:r>
      <w:r w:rsidR="007548F4">
        <w:rPr>
          <w:bCs/>
          <w:iCs/>
        </w:rPr>
        <w:t xml:space="preserve"> or elevation angles</w:t>
      </w:r>
      <w:r w:rsidR="008E7303">
        <w:rPr>
          <w:bCs/>
          <w:iCs/>
        </w:rPr>
        <w:t xml:space="preserve">. Instead of a fixed </w:t>
      </w:r>
      <m:oMath>
        <m:r>
          <w:rPr>
            <w:rFonts w:ascii="Cambria Math" w:hAnsi="Cambria Math"/>
          </w:rPr>
          <m:t>N</m:t>
        </m:r>
      </m:oMath>
      <w:r w:rsidR="008E7303">
        <w:rPr>
          <w:bCs/>
          <w:iCs/>
        </w:rPr>
        <w:t xml:space="preserve"> value, we think a variable </w:t>
      </w:r>
      <m:oMath>
        <m:r>
          <w:rPr>
            <w:rFonts w:ascii="Cambria Math" w:hAnsi="Cambria Math"/>
          </w:rPr>
          <m:t>N</m:t>
        </m:r>
      </m:oMath>
      <w:r w:rsidR="008E7303">
        <w:rPr>
          <w:bCs/>
          <w:iCs/>
        </w:rPr>
        <w:t xml:space="preserve"> value fits the situation. This </w:t>
      </w:r>
      <m:oMath>
        <m:r>
          <w:rPr>
            <w:rFonts w:ascii="Cambria Math" w:hAnsi="Cambria Math"/>
          </w:rPr>
          <m:t>N</m:t>
        </m:r>
      </m:oMath>
      <w:r w:rsidR="008E7303">
        <w:rPr>
          <w:bCs/>
          <w:iCs/>
        </w:rPr>
        <w:t xml:space="preserve"> value could be indicated by network. Either explicit indication of </w:t>
      </w:r>
      <m:oMath>
        <m:r>
          <w:rPr>
            <w:rFonts w:ascii="Cambria Math" w:hAnsi="Cambria Math"/>
          </w:rPr>
          <m:t>N</m:t>
        </m:r>
      </m:oMath>
      <w:r w:rsidR="008E7303">
        <w:rPr>
          <w:bCs/>
          <w:iCs/>
        </w:rPr>
        <w:t xml:space="preserve"> value or implicit indication of </w:t>
      </w:r>
      <m:oMath>
        <m:r>
          <w:rPr>
            <w:rFonts w:ascii="Cambria Math" w:hAnsi="Cambria Math"/>
          </w:rPr>
          <m:t>N</m:t>
        </m:r>
      </m:oMath>
      <w:r w:rsidR="008E7303">
        <w:rPr>
          <w:bCs/>
          <w:iCs/>
        </w:rPr>
        <w:t xml:space="preserve"> value (e.g., derived from timing drift rate) can be considered. </w:t>
      </w:r>
    </w:p>
    <w:p w14:paraId="0725DE71" w14:textId="77777777" w:rsidR="008E7303" w:rsidRDefault="008E7303" w:rsidP="00F2608D">
      <w:pPr>
        <w:jc w:val="both"/>
        <w:rPr>
          <w:bCs/>
          <w:iCs/>
        </w:rPr>
      </w:pPr>
    </w:p>
    <w:p w14:paraId="38CA0353" w14:textId="101880F4" w:rsidR="00D36932" w:rsidRDefault="008E7303" w:rsidP="00F2608D">
      <w:pPr>
        <w:jc w:val="both"/>
        <w:rPr>
          <w:bCs/>
          <w:iCs/>
        </w:rPr>
      </w:pPr>
      <w:r>
        <w:rPr>
          <w:bCs/>
          <w:iCs/>
        </w:rPr>
        <w:t xml:space="preserve">For long PRACH transmissions, the indication of </w:t>
      </w:r>
      <m:oMath>
        <m:r>
          <w:rPr>
            <w:rFonts w:ascii="Cambria Math" w:hAnsi="Cambria Math"/>
          </w:rPr>
          <m:t>N</m:t>
        </m:r>
      </m:oMath>
      <w:r>
        <w:rPr>
          <w:bCs/>
          <w:iCs/>
        </w:rPr>
        <w:t xml:space="preserve"> value is via system information. For long PUSCH transmissions, the indication of </w:t>
      </w:r>
      <m:oMath>
        <m:r>
          <w:rPr>
            <w:rFonts w:ascii="Cambria Math" w:hAnsi="Cambria Math"/>
          </w:rPr>
          <m:t>N</m:t>
        </m:r>
      </m:oMath>
      <w:r>
        <w:rPr>
          <w:bCs/>
          <w:iCs/>
        </w:rPr>
        <w:t xml:space="preserve"> value can be either semi-static (e.g., RRC configuration) or dynamic. </w:t>
      </w:r>
    </w:p>
    <w:p w14:paraId="10781513" w14:textId="5C44E719" w:rsidR="00284812" w:rsidRDefault="00284812" w:rsidP="00F2608D">
      <w:pPr>
        <w:jc w:val="both"/>
        <w:rPr>
          <w:bCs/>
          <w:iCs/>
        </w:rPr>
      </w:pPr>
    </w:p>
    <w:p w14:paraId="35A07849" w14:textId="2B66EB0E" w:rsidR="00D746FE" w:rsidRPr="00B61189" w:rsidRDefault="008E7303" w:rsidP="00F2608D">
      <w:pPr>
        <w:jc w:val="both"/>
        <w:rPr>
          <w:i/>
        </w:rPr>
      </w:pPr>
      <w:r w:rsidRPr="00284812">
        <w:rPr>
          <w:b/>
          <w:i/>
          <w:u w:val="single"/>
        </w:rPr>
        <w:t xml:space="preserve">Proposal </w:t>
      </w:r>
      <w:r w:rsidR="005B2F07">
        <w:rPr>
          <w:b/>
          <w:i/>
          <w:u w:val="single"/>
        </w:rPr>
        <w:t>2</w:t>
      </w:r>
      <w:r w:rsidRPr="00284812">
        <w:rPr>
          <w:b/>
          <w:i/>
          <w:u w:val="single"/>
        </w:rPr>
        <w:t>:</w:t>
      </w:r>
      <w:r w:rsidRPr="00284812">
        <w:rPr>
          <w:i/>
        </w:rPr>
        <w:t xml:space="preserve"> </w:t>
      </w:r>
      <w:r>
        <w:rPr>
          <w:i/>
        </w:rPr>
        <w:t>In long PRACH</w:t>
      </w:r>
      <w:r w:rsidR="00B61189">
        <w:rPr>
          <w:i/>
        </w:rPr>
        <w:t xml:space="preserve"> or long PUSCH</w:t>
      </w:r>
      <w:r>
        <w:rPr>
          <w:i/>
        </w:rPr>
        <w:t xml:space="preserve"> transmissions, UE applies the same time and frequency pre-compensation every N time units, where N is indicated by network.  </w:t>
      </w:r>
    </w:p>
    <w:p w14:paraId="2D2552C3" w14:textId="3B1F4452" w:rsidR="00B61189" w:rsidRDefault="00B61189" w:rsidP="00F2608D">
      <w:pPr>
        <w:jc w:val="both"/>
        <w:rPr>
          <w:bCs/>
          <w:iCs/>
        </w:rPr>
      </w:pPr>
    </w:p>
    <w:p w14:paraId="149160E4" w14:textId="1B2B311F" w:rsidR="00C05071" w:rsidRDefault="007622A3" w:rsidP="00F2608D">
      <w:pPr>
        <w:jc w:val="both"/>
        <w:rPr>
          <w:bCs/>
          <w:iCs/>
        </w:rPr>
      </w:pPr>
      <w:r>
        <w:rPr>
          <w:bCs/>
          <w:iCs/>
        </w:rPr>
        <w:t>In NR over NTN, it was agreed that a UE is able to use its GNSS location and satellite ephemeris to estimate the UE specific TA and service link Doppler shift. We assume the similar approach applies to IoT over NTN. Here, the prediction error from satellite ephemeris increases with elap</w:t>
      </w:r>
      <w:r>
        <w:rPr>
          <w:rFonts w:hint="eastAsia"/>
          <w:bCs/>
          <w:iCs/>
        </w:rPr>
        <w:t>s</w:t>
      </w:r>
      <w:r>
        <w:rPr>
          <w:bCs/>
          <w:iCs/>
        </w:rPr>
        <w:t xml:space="preserve">ed time. This implies that the satellite ephemeris information </w:t>
      </w:r>
      <w:r w:rsidR="008E5F35">
        <w:rPr>
          <w:bCs/>
          <w:iCs/>
        </w:rPr>
        <w:t>should have a</w:t>
      </w:r>
      <w:r>
        <w:rPr>
          <w:bCs/>
          <w:iCs/>
        </w:rPr>
        <w:t xml:space="preserve"> validity timer. After the validity timer, the </w:t>
      </w:r>
      <w:r w:rsidR="00C05071">
        <w:rPr>
          <w:bCs/>
          <w:iCs/>
        </w:rPr>
        <w:t xml:space="preserve">satellite ephemeris information should not be used any more. </w:t>
      </w:r>
    </w:p>
    <w:p w14:paraId="0DCEFD34" w14:textId="77777777" w:rsidR="00C05071" w:rsidRDefault="00C05071" w:rsidP="00F2608D">
      <w:pPr>
        <w:jc w:val="both"/>
        <w:rPr>
          <w:bCs/>
          <w:iCs/>
        </w:rPr>
      </w:pPr>
    </w:p>
    <w:p w14:paraId="6FBF6763" w14:textId="66C035A4" w:rsidR="00C05071" w:rsidRDefault="00C05071" w:rsidP="00F2608D">
      <w:pPr>
        <w:jc w:val="both"/>
        <w:rPr>
          <w:bCs/>
          <w:iCs/>
        </w:rPr>
      </w:pPr>
      <w:r>
        <w:rPr>
          <w:bCs/>
          <w:iCs/>
        </w:rPr>
        <w:t>In general, the validity timer of satellite ephemeris could be as long as tens of seconds. The broadcasting of satellite ephemeris could be via SIB. The satellite ephemeris broadcasting periodicity could be</w:t>
      </w:r>
      <w:r w:rsidR="00394755">
        <w:rPr>
          <w:bCs/>
          <w:iCs/>
        </w:rPr>
        <w:t xml:space="preserve"> much</w:t>
      </w:r>
      <w:r>
        <w:rPr>
          <w:bCs/>
          <w:iCs/>
        </w:rPr>
        <w:t xml:space="preserve"> smaller than the validity timer of satellite ephemeris. In other words, a UE does not need to read every SIB containing a satellite ephemeris information, when its ephemeris validity timer has not expired.</w:t>
      </w:r>
      <w:r w:rsidR="00394755">
        <w:rPr>
          <w:bCs/>
          <w:iCs/>
        </w:rPr>
        <w:t xml:space="preserve"> In this sense, the validity timer of satellite ephemeris could be indicated by network. Furthermore, the validity timer depends on deployment scenario (i.e., LEO or GEO) and might be time varying. Hence, it is preferrable to have configurable value of validity timer. </w:t>
      </w:r>
    </w:p>
    <w:p w14:paraId="77FBAFA9" w14:textId="77777777" w:rsidR="00394755" w:rsidRDefault="00394755" w:rsidP="00F2608D">
      <w:pPr>
        <w:jc w:val="both"/>
        <w:rPr>
          <w:bCs/>
          <w:iCs/>
        </w:rPr>
      </w:pPr>
    </w:p>
    <w:p w14:paraId="3DA10D91" w14:textId="59728235" w:rsidR="007622A3" w:rsidRDefault="00C05071" w:rsidP="00F2608D">
      <w:pPr>
        <w:jc w:val="both"/>
        <w:rPr>
          <w:bCs/>
          <w:iCs/>
        </w:rPr>
      </w:pPr>
      <w:r w:rsidRPr="00284812">
        <w:rPr>
          <w:b/>
          <w:i/>
          <w:u w:val="single"/>
        </w:rPr>
        <w:t xml:space="preserve">Proposal </w:t>
      </w:r>
      <w:r>
        <w:rPr>
          <w:b/>
          <w:i/>
          <w:u w:val="single"/>
        </w:rPr>
        <w:t>3</w:t>
      </w:r>
      <w:r w:rsidRPr="00284812">
        <w:rPr>
          <w:b/>
          <w:i/>
          <w:u w:val="single"/>
        </w:rPr>
        <w:t>:</w:t>
      </w:r>
      <w:r w:rsidRPr="00284812">
        <w:rPr>
          <w:i/>
        </w:rPr>
        <w:t xml:space="preserve"> </w:t>
      </w:r>
      <w:r>
        <w:rPr>
          <w:i/>
        </w:rPr>
        <w:t xml:space="preserve">Support </w:t>
      </w:r>
      <w:r w:rsidR="00394755">
        <w:rPr>
          <w:i/>
        </w:rPr>
        <w:t xml:space="preserve">network </w:t>
      </w:r>
      <w:r>
        <w:rPr>
          <w:i/>
        </w:rPr>
        <w:t xml:space="preserve">to </w:t>
      </w:r>
      <w:r w:rsidR="00394755">
        <w:rPr>
          <w:i/>
        </w:rPr>
        <w:t xml:space="preserve">configure and </w:t>
      </w:r>
      <w:r>
        <w:rPr>
          <w:i/>
        </w:rPr>
        <w:t xml:space="preserve">indicate the validity timer of satellite ephemeris. </w:t>
      </w:r>
    </w:p>
    <w:p w14:paraId="155E5682" w14:textId="70E4904E" w:rsidR="007622A3" w:rsidRDefault="007622A3" w:rsidP="00F2608D">
      <w:pPr>
        <w:jc w:val="both"/>
        <w:rPr>
          <w:bCs/>
          <w:iCs/>
        </w:rPr>
      </w:pPr>
    </w:p>
    <w:p w14:paraId="0B810124" w14:textId="73632893" w:rsidR="009D7345" w:rsidRDefault="009D7345" w:rsidP="00F2608D">
      <w:pPr>
        <w:jc w:val="both"/>
        <w:rPr>
          <w:bCs/>
          <w:iCs/>
        </w:rPr>
      </w:pPr>
      <w:r>
        <w:rPr>
          <w:bCs/>
          <w:iCs/>
        </w:rPr>
        <w:t>If the validity timer of satellite ephemeris expires, then UE needs to re-acquire satellite ephemeris before its next uplink transmissions.</w:t>
      </w:r>
    </w:p>
    <w:p w14:paraId="5CAE4F49" w14:textId="77777777" w:rsidR="00394755" w:rsidRDefault="00394755" w:rsidP="00F2608D">
      <w:pPr>
        <w:jc w:val="both"/>
        <w:rPr>
          <w:bCs/>
          <w:iCs/>
        </w:rPr>
      </w:pPr>
    </w:p>
    <w:p w14:paraId="3CC71DA0" w14:textId="7632FE2F" w:rsidR="00394755" w:rsidRDefault="00394755" w:rsidP="00F2608D">
      <w:pPr>
        <w:jc w:val="both"/>
        <w:rPr>
          <w:bCs/>
          <w:iCs/>
        </w:rPr>
      </w:pPr>
      <w:r w:rsidRPr="00284812">
        <w:rPr>
          <w:b/>
          <w:i/>
          <w:u w:val="single"/>
        </w:rPr>
        <w:t xml:space="preserve">Proposal </w:t>
      </w:r>
      <w:r>
        <w:rPr>
          <w:b/>
          <w:i/>
          <w:u w:val="single"/>
        </w:rPr>
        <w:t>4</w:t>
      </w:r>
      <w:r w:rsidRPr="00284812">
        <w:rPr>
          <w:b/>
          <w:i/>
          <w:u w:val="single"/>
        </w:rPr>
        <w:t>:</w:t>
      </w:r>
      <w:r w:rsidRPr="00284812">
        <w:rPr>
          <w:i/>
        </w:rPr>
        <w:t xml:space="preserve"> </w:t>
      </w:r>
      <w:r>
        <w:rPr>
          <w:i/>
        </w:rPr>
        <w:t xml:space="preserve">UE needs to re-acquire satellite ephemeris when its validity timer expires. </w:t>
      </w:r>
    </w:p>
    <w:p w14:paraId="54727918" w14:textId="77777777" w:rsidR="007622A3" w:rsidRDefault="007622A3" w:rsidP="00F2608D">
      <w:pPr>
        <w:jc w:val="both"/>
        <w:rPr>
          <w:bCs/>
          <w:iCs/>
        </w:rPr>
      </w:pPr>
    </w:p>
    <w:p w14:paraId="2BC67D83" w14:textId="0E7706FD" w:rsidR="009D7345" w:rsidRDefault="009D7345" w:rsidP="009D7345">
      <w:pPr>
        <w:jc w:val="both"/>
      </w:pPr>
      <w:r>
        <w:rPr>
          <w:rFonts w:eastAsia="SimSun"/>
          <w:color w:val="000000"/>
        </w:rPr>
        <w:t xml:space="preserve">The downlink synchronization needs to be enhanced in IoT NTN. It was identified that the UE can have initial frequency error exceeding 50 kHz due to both crystal error in device and satellite-based </w:t>
      </w:r>
      <w:r>
        <w:rPr>
          <w:rFonts w:eastAsia="SimSun"/>
          <w:color w:val="000000"/>
        </w:rPr>
        <w:lastRenderedPageBreak/>
        <w:t xml:space="preserve">Doppler shift. Two potential solutions were identified </w:t>
      </w:r>
      <w:r>
        <w:rPr>
          <w:rFonts w:eastAsia="SimSun"/>
          <w:color w:val="000000"/>
        </w:rPr>
        <w:fldChar w:fldCharType="begin"/>
      </w:r>
      <w:r>
        <w:rPr>
          <w:rFonts w:eastAsia="SimSun"/>
          <w:color w:val="000000"/>
        </w:rPr>
        <w:instrText xml:space="preserve"> REF _Ref78382245 \r \h </w:instrText>
      </w:r>
      <w:r>
        <w:rPr>
          <w:rFonts w:eastAsia="SimSun"/>
          <w:color w:val="000000"/>
        </w:rPr>
      </w:r>
      <w:r>
        <w:rPr>
          <w:rFonts w:eastAsia="SimSun"/>
          <w:color w:val="000000"/>
        </w:rPr>
        <w:fldChar w:fldCharType="separate"/>
      </w:r>
      <w:r>
        <w:rPr>
          <w:rFonts w:eastAsia="SimSun"/>
          <w:color w:val="000000"/>
        </w:rPr>
        <w:t>[1]</w:t>
      </w:r>
      <w:r>
        <w:rPr>
          <w:rFonts w:eastAsia="SimSun"/>
          <w:color w:val="000000"/>
        </w:rPr>
        <w:fldChar w:fldCharType="end"/>
      </w:r>
      <w:r>
        <w:rPr>
          <w:rFonts w:eastAsia="SimSun"/>
          <w:color w:val="000000"/>
        </w:rPr>
        <w:t xml:space="preserve">: </w:t>
      </w:r>
      <w:r w:rsidRPr="00667392">
        <w:t>new channel raster</w:t>
      </w:r>
      <w:r w:rsidR="00E71DB3">
        <w:t xml:space="preserve"> and</w:t>
      </w:r>
      <w:r w:rsidRPr="00667392">
        <w:t xml:space="preserve"> (part of) ARFCN-indication-in-MIB</w:t>
      </w:r>
      <w:r>
        <w:t>.</w:t>
      </w:r>
    </w:p>
    <w:p w14:paraId="78D234CB" w14:textId="6FEE0EB4" w:rsidR="009D7345" w:rsidRDefault="009D7345" w:rsidP="009D7345">
      <w:pPr>
        <w:jc w:val="both"/>
      </w:pPr>
    </w:p>
    <w:p w14:paraId="1AB70D7F" w14:textId="4D9E9A86" w:rsidR="009D7345" w:rsidRDefault="009D7345" w:rsidP="009D7345">
      <w:pPr>
        <w:jc w:val="both"/>
      </w:pPr>
      <w:r>
        <w:t>The channel raster step size could be increased from 100 kHz to a larger number (e.g., 200 kHz). T</w:t>
      </w:r>
      <w:r w:rsidR="000576E9">
        <w:t>his approach could address the downlink synchronization error. However, this ha</w:t>
      </w:r>
      <w:r w:rsidR="00200AF0">
        <w:t>s</w:t>
      </w:r>
      <w:r w:rsidR="000576E9">
        <w:t xml:space="preserve"> RAN4 impact.</w:t>
      </w:r>
      <w:r w:rsidR="006B2B8E">
        <w:t xml:space="preserve"> The</w:t>
      </w:r>
      <w:r w:rsidR="00E71DB3">
        <w:t xml:space="preserve"> other potential solution is to include part of ARFCN information in MIB. This approach requires multiple hypotheses testing before decoding the PBCH, which </w:t>
      </w:r>
      <w:r w:rsidR="00200AF0">
        <w:t>i</w:t>
      </w:r>
      <w:r w:rsidR="00E71DB3">
        <w:t xml:space="preserve">ncludes the correct channel frequency information. Comparing the two approaches, we </w:t>
      </w:r>
      <w:r w:rsidR="00200AF0">
        <w:t>think</w:t>
      </w:r>
      <w:r w:rsidR="00E71DB3">
        <w:t xml:space="preserve"> the new channel raster has less specification impact</w:t>
      </w:r>
      <w:r w:rsidR="0077380E">
        <w:t xml:space="preserve"> </w:t>
      </w:r>
      <w:r w:rsidR="00E71DB3">
        <w:t xml:space="preserve">and is preferred. </w:t>
      </w:r>
    </w:p>
    <w:p w14:paraId="46BD9E36" w14:textId="62F5ACAF" w:rsidR="009D7345" w:rsidRDefault="009D7345" w:rsidP="009D7345">
      <w:pPr>
        <w:jc w:val="both"/>
        <w:rPr>
          <w:rFonts w:eastAsia="SimSun"/>
          <w:color w:val="000000"/>
        </w:rPr>
      </w:pPr>
    </w:p>
    <w:p w14:paraId="2A2D6D4A" w14:textId="2A852C15" w:rsidR="009D7345" w:rsidRDefault="000576E9" w:rsidP="000576E9">
      <w:pPr>
        <w:jc w:val="both"/>
        <w:rPr>
          <w:rFonts w:eastAsia="SimSun"/>
          <w:color w:val="000000"/>
        </w:rPr>
      </w:pPr>
      <w:r w:rsidRPr="00284812">
        <w:rPr>
          <w:b/>
          <w:i/>
          <w:u w:val="single"/>
        </w:rPr>
        <w:t xml:space="preserve">Proposal </w:t>
      </w:r>
      <w:r>
        <w:rPr>
          <w:b/>
          <w:i/>
          <w:u w:val="single"/>
        </w:rPr>
        <w:t>5</w:t>
      </w:r>
      <w:r w:rsidRPr="00284812">
        <w:rPr>
          <w:b/>
          <w:i/>
          <w:u w:val="single"/>
        </w:rPr>
        <w:t>:</w:t>
      </w:r>
      <w:r w:rsidRPr="00284812">
        <w:rPr>
          <w:i/>
        </w:rPr>
        <w:t xml:space="preserve"> </w:t>
      </w:r>
      <w:r>
        <w:rPr>
          <w:i/>
        </w:rPr>
        <w:t xml:space="preserve">Consider </w:t>
      </w:r>
      <w:r w:rsidR="0077380E">
        <w:rPr>
          <w:i/>
        </w:rPr>
        <w:t>increasing</w:t>
      </w:r>
      <w:r w:rsidRPr="000576E9">
        <w:rPr>
          <w:i/>
        </w:rPr>
        <w:t xml:space="preserve"> the channel raster </w:t>
      </w:r>
      <w:r>
        <w:rPr>
          <w:i/>
        </w:rPr>
        <w:t xml:space="preserve">step size in IoT NTN. </w:t>
      </w:r>
    </w:p>
    <w:p w14:paraId="4E9AA705" w14:textId="77777777" w:rsidR="009D7345" w:rsidRDefault="009D7345" w:rsidP="00F2608D">
      <w:pPr>
        <w:rPr>
          <w:rFonts w:eastAsia="SimSun"/>
          <w:color w:val="000000"/>
        </w:rPr>
      </w:pPr>
    </w:p>
    <w:p w14:paraId="32A8C6D0" w14:textId="64119ABD" w:rsidR="00F2608D" w:rsidRDefault="00DD443F" w:rsidP="008F05B6">
      <w:pPr>
        <w:jc w:val="both"/>
      </w:pPr>
      <w:r>
        <w:t xml:space="preserve">The validity of a GNSS position fix is open. Considering the maximum IoT device motion of 120 km/h </w:t>
      </w:r>
      <w:r>
        <w:fldChar w:fldCharType="begin"/>
      </w:r>
      <w:r>
        <w:instrText xml:space="preserve"> REF _Ref78382245 \r \h </w:instrText>
      </w:r>
      <w:r>
        <w:fldChar w:fldCharType="separate"/>
      </w:r>
      <w:r>
        <w:t>[1]</w:t>
      </w:r>
      <w:r>
        <w:fldChar w:fldCharType="end"/>
      </w:r>
      <w:r>
        <w:t xml:space="preserve">, the device position change is around </w:t>
      </w:r>
      <m:oMath>
        <m:r>
          <w:rPr>
            <w:rFonts w:ascii="Cambria Math" w:hAnsi="Cambria Math"/>
          </w:rPr>
          <m:t>33⋅x</m:t>
        </m:r>
      </m:oMath>
      <w:r>
        <w:t xml:space="preserve"> meters after </w:t>
      </w:r>
      <m:oMath>
        <m:r>
          <w:rPr>
            <w:rFonts w:ascii="Cambria Math" w:hAnsi="Cambria Math"/>
          </w:rPr>
          <m:t>x</m:t>
        </m:r>
      </m:oMath>
      <w:r>
        <w:t xml:space="preserve"> seconds. If the TA error due to GNSS position error is limited by 10% of the CP length, then the GNSS position error should be less than 140 meters. This implies the GNSS position fix has to be performed every 5 seconds. Considering that TA command MAC CE could fix uplink timing error, the GNSS position error could be a little relaxed. </w:t>
      </w:r>
    </w:p>
    <w:p w14:paraId="126A34FB" w14:textId="77777777" w:rsidR="00DD443F" w:rsidRDefault="00DD443F" w:rsidP="008F05B6">
      <w:pPr>
        <w:jc w:val="both"/>
      </w:pPr>
    </w:p>
    <w:p w14:paraId="3DC8324F" w14:textId="4DAC3231" w:rsidR="00DD443F" w:rsidRDefault="00DD443F" w:rsidP="008F05B6">
      <w:pPr>
        <w:jc w:val="both"/>
      </w:pPr>
      <w:r w:rsidRPr="00284812">
        <w:rPr>
          <w:b/>
          <w:i/>
          <w:u w:val="single"/>
        </w:rPr>
        <w:t xml:space="preserve">Proposal </w:t>
      </w:r>
      <w:r>
        <w:rPr>
          <w:b/>
          <w:i/>
          <w:u w:val="single"/>
        </w:rPr>
        <w:t>6</w:t>
      </w:r>
      <w:r w:rsidRPr="00284812">
        <w:rPr>
          <w:b/>
          <w:i/>
          <w:u w:val="single"/>
        </w:rPr>
        <w:t>:</w:t>
      </w:r>
      <w:r w:rsidRPr="00284812">
        <w:rPr>
          <w:i/>
        </w:rPr>
        <w:t xml:space="preserve"> </w:t>
      </w:r>
      <w:r>
        <w:rPr>
          <w:i/>
        </w:rPr>
        <w:t xml:space="preserve">Consider the validity of GNSS position fix based on the supported maximum UE speed. </w:t>
      </w:r>
    </w:p>
    <w:p w14:paraId="3A753041" w14:textId="77777777" w:rsidR="00DD443F" w:rsidRDefault="00DD443F" w:rsidP="008F05B6">
      <w:pPr>
        <w:jc w:val="both"/>
      </w:pPr>
    </w:p>
    <w:p w14:paraId="2896E657" w14:textId="2DF29AD0" w:rsidR="00854A60" w:rsidRPr="00A6576F" w:rsidRDefault="009C5A97" w:rsidP="00FB330B">
      <w:pPr>
        <w:pStyle w:val="Heading1"/>
      </w:pPr>
      <w:r w:rsidRPr="00A6576F">
        <w:t>Conclusion</w:t>
      </w:r>
    </w:p>
    <w:p w14:paraId="1C116919" w14:textId="74F4CF4A"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402784">
        <w:rPr>
          <w:szCs w:val="20"/>
        </w:rPr>
        <w:t>time and frequency synchronization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3A34F5FE" w14:textId="77777777" w:rsidR="009D7345" w:rsidRDefault="009D7345" w:rsidP="009D7345">
      <w:pPr>
        <w:jc w:val="both"/>
      </w:pPr>
    </w:p>
    <w:p w14:paraId="1CCDDEFA" w14:textId="547DBA51" w:rsidR="009D7345" w:rsidRDefault="009D7345" w:rsidP="009D7345">
      <w:pPr>
        <w:jc w:val="both"/>
        <w:rPr>
          <w:i/>
        </w:rPr>
      </w:pPr>
      <w:r w:rsidRPr="00284812">
        <w:rPr>
          <w:b/>
          <w:i/>
          <w:u w:val="single"/>
        </w:rPr>
        <w:t xml:space="preserve">Proposal </w:t>
      </w:r>
      <w:r>
        <w:rPr>
          <w:b/>
          <w:i/>
          <w:u w:val="single"/>
        </w:rPr>
        <w:t>1</w:t>
      </w:r>
      <w:r w:rsidRPr="00284812">
        <w:rPr>
          <w:b/>
          <w:i/>
          <w:u w:val="single"/>
        </w:rPr>
        <w:t>:</w:t>
      </w:r>
      <w:r w:rsidRPr="00284812">
        <w:rPr>
          <w:i/>
        </w:rPr>
        <w:t xml:space="preserve"> </w:t>
      </w:r>
      <w:r>
        <w:rPr>
          <w:i/>
        </w:rPr>
        <w:t>In long PRACH or long PUSCH transmissions, introduce more frequent uplink gaps.</w:t>
      </w:r>
    </w:p>
    <w:p w14:paraId="7661A298" w14:textId="77777777" w:rsidR="009D7345" w:rsidRDefault="009D7345" w:rsidP="009D7345">
      <w:pPr>
        <w:jc w:val="both"/>
        <w:rPr>
          <w:bCs/>
          <w:iCs/>
        </w:rPr>
      </w:pPr>
    </w:p>
    <w:p w14:paraId="2D2A8D5B" w14:textId="77777777" w:rsidR="009D7345" w:rsidRPr="00B61189" w:rsidRDefault="009D7345" w:rsidP="009D7345">
      <w:pPr>
        <w:jc w:val="both"/>
        <w:rPr>
          <w:i/>
        </w:rPr>
      </w:pPr>
      <w:r w:rsidRPr="00284812">
        <w:rPr>
          <w:b/>
          <w:i/>
          <w:u w:val="single"/>
        </w:rPr>
        <w:t xml:space="preserve">Proposal </w:t>
      </w:r>
      <w:r>
        <w:rPr>
          <w:b/>
          <w:i/>
          <w:u w:val="single"/>
        </w:rPr>
        <w:t>2</w:t>
      </w:r>
      <w:r w:rsidRPr="00284812">
        <w:rPr>
          <w:b/>
          <w:i/>
          <w:u w:val="single"/>
        </w:rPr>
        <w:t>:</w:t>
      </w:r>
      <w:r w:rsidRPr="00284812">
        <w:rPr>
          <w:i/>
        </w:rPr>
        <w:t xml:space="preserve"> </w:t>
      </w:r>
      <w:r>
        <w:rPr>
          <w:i/>
        </w:rPr>
        <w:t xml:space="preserve">In long PRACH or long PUSCH transmissions, UE applies the same time and frequency pre-compensation every N time units, where N is indicated by network.  </w:t>
      </w:r>
    </w:p>
    <w:p w14:paraId="24468A92" w14:textId="29E5F50F" w:rsidR="00402784" w:rsidRDefault="00402784" w:rsidP="00B42176">
      <w:pPr>
        <w:jc w:val="both"/>
        <w:rPr>
          <w:i/>
        </w:rPr>
      </w:pPr>
    </w:p>
    <w:p w14:paraId="1F37AE6B" w14:textId="77777777" w:rsidR="009D7345" w:rsidRDefault="009D7345" w:rsidP="009D7345">
      <w:pPr>
        <w:jc w:val="both"/>
        <w:rPr>
          <w:bCs/>
          <w:iCs/>
        </w:rPr>
      </w:pPr>
      <w:r w:rsidRPr="00284812">
        <w:rPr>
          <w:b/>
          <w:i/>
          <w:u w:val="single"/>
        </w:rPr>
        <w:t xml:space="preserve">Proposal </w:t>
      </w:r>
      <w:r>
        <w:rPr>
          <w:b/>
          <w:i/>
          <w:u w:val="single"/>
        </w:rPr>
        <w:t>3</w:t>
      </w:r>
      <w:r w:rsidRPr="00284812">
        <w:rPr>
          <w:b/>
          <w:i/>
          <w:u w:val="single"/>
        </w:rPr>
        <w:t>:</w:t>
      </w:r>
      <w:r w:rsidRPr="00284812">
        <w:rPr>
          <w:i/>
        </w:rPr>
        <w:t xml:space="preserve"> </w:t>
      </w:r>
      <w:r>
        <w:rPr>
          <w:i/>
        </w:rPr>
        <w:t xml:space="preserve">Support network to configure and indicate the validity timer of satellite ephemeris. </w:t>
      </w:r>
    </w:p>
    <w:p w14:paraId="75F6FC3D" w14:textId="2901CD9C" w:rsidR="009D7345" w:rsidRDefault="009D7345" w:rsidP="00B42176">
      <w:pPr>
        <w:jc w:val="both"/>
        <w:rPr>
          <w:i/>
        </w:rPr>
      </w:pPr>
    </w:p>
    <w:p w14:paraId="4DD7263B" w14:textId="624546FC" w:rsidR="009D7345" w:rsidRDefault="009D7345" w:rsidP="009D7345">
      <w:pPr>
        <w:jc w:val="both"/>
        <w:rPr>
          <w:i/>
        </w:rPr>
      </w:pPr>
      <w:r w:rsidRPr="00284812">
        <w:rPr>
          <w:b/>
          <w:i/>
          <w:u w:val="single"/>
        </w:rPr>
        <w:t xml:space="preserve">Proposal </w:t>
      </w:r>
      <w:r>
        <w:rPr>
          <w:b/>
          <w:i/>
          <w:u w:val="single"/>
        </w:rPr>
        <w:t>4</w:t>
      </w:r>
      <w:r w:rsidRPr="00284812">
        <w:rPr>
          <w:b/>
          <w:i/>
          <w:u w:val="single"/>
        </w:rPr>
        <w:t>:</w:t>
      </w:r>
      <w:r w:rsidRPr="00284812">
        <w:rPr>
          <w:i/>
        </w:rPr>
        <w:t xml:space="preserve"> </w:t>
      </w:r>
      <w:r>
        <w:rPr>
          <w:i/>
        </w:rPr>
        <w:t xml:space="preserve">UE needs to re-acquire satellite ephemeris when its validity timer expires. </w:t>
      </w:r>
    </w:p>
    <w:p w14:paraId="16C116A1" w14:textId="77777777" w:rsidR="0077380E" w:rsidRDefault="0077380E" w:rsidP="009D7345">
      <w:pPr>
        <w:jc w:val="both"/>
        <w:rPr>
          <w:bCs/>
          <w:iCs/>
        </w:rPr>
      </w:pPr>
    </w:p>
    <w:p w14:paraId="064D511B" w14:textId="0E27CAF4" w:rsidR="0077380E" w:rsidRDefault="0077380E" w:rsidP="0077380E">
      <w:pPr>
        <w:jc w:val="both"/>
        <w:rPr>
          <w:rFonts w:eastAsia="SimSun"/>
          <w:color w:val="000000"/>
        </w:rPr>
      </w:pPr>
      <w:r w:rsidRPr="00284812">
        <w:rPr>
          <w:b/>
          <w:i/>
          <w:u w:val="single"/>
        </w:rPr>
        <w:t xml:space="preserve">Proposal </w:t>
      </w:r>
      <w:r>
        <w:rPr>
          <w:b/>
          <w:i/>
          <w:u w:val="single"/>
        </w:rPr>
        <w:t>5</w:t>
      </w:r>
      <w:r w:rsidRPr="00284812">
        <w:rPr>
          <w:b/>
          <w:i/>
          <w:u w:val="single"/>
        </w:rPr>
        <w:t>:</w:t>
      </w:r>
      <w:r w:rsidRPr="00284812">
        <w:rPr>
          <w:i/>
        </w:rPr>
        <w:t xml:space="preserve"> </w:t>
      </w:r>
      <w:r>
        <w:rPr>
          <w:i/>
        </w:rPr>
        <w:t>Consider increasing</w:t>
      </w:r>
      <w:r w:rsidRPr="000576E9">
        <w:rPr>
          <w:i/>
        </w:rPr>
        <w:t xml:space="preserve"> the channel raster </w:t>
      </w:r>
      <w:r>
        <w:rPr>
          <w:i/>
        </w:rPr>
        <w:t xml:space="preserve">step size in IoT NTN. </w:t>
      </w:r>
    </w:p>
    <w:p w14:paraId="45399A09" w14:textId="51E292E7" w:rsidR="009D7345" w:rsidRDefault="009D7345" w:rsidP="00B42176">
      <w:pPr>
        <w:jc w:val="both"/>
        <w:rPr>
          <w:i/>
        </w:rPr>
      </w:pPr>
    </w:p>
    <w:p w14:paraId="44D06064" w14:textId="77777777" w:rsidR="00DD443F" w:rsidRDefault="00DD443F" w:rsidP="00DD443F">
      <w:pPr>
        <w:jc w:val="both"/>
      </w:pPr>
      <w:r w:rsidRPr="00284812">
        <w:rPr>
          <w:b/>
          <w:i/>
          <w:u w:val="single"/>
        </w:rPr>
        <w:t xml:space="preserve">Proposal </w:t>
      </w:r>
      <w:r>
        <w:rPr>
          <w:b/>
          <w:i/>
          <w:u w:val="single"/>
        </w:rPr>
        <w:t>6</w:t>
      </w:r>
      <w:r w:rsidRPr="00284812">
        <w:rPr>
          <w:b/>
          <w:i/>
          <w:u w:val="single"/>
        </w:rPr>
        <w:t>:</w:t>
      </w:r>
      <w:r w:rsidRPr="00284812">
        <w:rPr>
          <w:i/>
        </w:rPr>
        <w:t xml:space="preserve"> </w:t>
      </w:r>
      <w:r>
        <w:rPr>
          <w:i/>
        </w:rPr>
        <w:t xml:space="preserve">Consider the validity of GNSS position fix based on the supported maximum UE speed. </w:t>
      </w:r>
    </w:p>
    <w:p w14:paraId="7C2A9037" w14:textId="77777777" w:rsidR="009D7345" w:rsidRPr="00FD4C3F" w:rsidRDefault="009D7345" w:rsidP="00B42176">
      <w:pPr>
        <w:jc w:val="both"/>
        <w:rPr>
          <w:i/>
        </w:rPr>
      </w:pPr>
    </w:p>
    <w:p w14:paraId="2E75F001" w14:textId="77777777" w:rsidR="007E70BB" w:rsidRPr="00A6576F" w:rsidRDefault="005C63AE" w:rsidP="007E70BB">
      <w:pPr>
        <w:pStyle w:val="Heading1"/>
      </w:pPr>
      <w:r w:rsidRPr="00A6576F">
        <w:t>References</w:t>
      </w:r>
    </w:p>
    <w:p w14:paraId="11C6EDE4" w14:textId="77777777" w:rsidR="00260A59" w:rsidRDefault="00260A59" w:rsidP="00260A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382245"/>
      <w:bookmarkStart w:id="1" w:name="_Ref46861923"/>
      <w:bookmarkStart w:id="2" w:name="_Ref30519541"/>
      <w:bookmarkStart w:id="3" w:name="_Ref30499280"/>
      <w:r>
        <w:t>3GPP TR 36.763, Study on Narrow-band Internot of Thing (NB-IoT)/Enhanced Machine Type Communication (eMTC) support for Non-terrestrial Network (NTN), v17.0.0, Jun. 2021.</w:t>
      </w:r>
      <w:bookmarkEnd w:id="0"/>
      <w:r>
        <w:t xml:space="preserve"> </w:t>
      </w:r>
    </w:p>
    <w:p w14:paraId="17A0EE94" w14:textId="77777777" w:rsidR="00260A59" w:rsidRPr="00175F67" w:rsidRDefault="00260A59" w:rsidP="00260A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78287450"/>
      <w:r>
        <w:t>RP-211601, “WID on NB-IoT/eMTC support for NTN,” Jun. 2021.</w:t>
      </w:r>
      <w:bookmarkEnd w:id="4"/>
      <w:r>
        <w:t xml:space="preserve"> </w:t>
      </w:r>
    </w:p>
    <w:p w14:paraId="7BEAAC42" w14:textId="71A323D7" w:rsidR="00815CE8" w:rsidRDefault="00815CE8" w:rsidP="00815C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53646739"/>
      <w:bookmarkEnd w:id="1"/>
      <w:bookmarkEnd w:id="2"/>
      <w:bookmarkEnd w:id="3"/>
      <w:r>
        <w:t>3GPP TR 38.821, Solution for NR to support non terrestrial networks (NTN), v. 16.</w:t>
      </w:r>
      <w:r w:rsidR="00575DBA">
        <w:t>0</w:t>
      </w:r>
      <w:r>
        <w:t>.0, Dec. 2019.</w:t>
      </w:r>
      <w:bookmarkEnd w:id="5"/>
    </w:p>
    <w:p w14:paraId="3ED2293F" w14:textId="1405BCC9" w:rsidR="00C12DBE" w:rsidRDefault="00C12DBE" w:rsidP="006563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5578963"/>
      <w:bookmarkStart w:id="7" w:name="_Ref65502314"/>
      <w:bookmarkStart w:id="8" w:name="_Ref49784738"/>
      <w:bookmarkStart w:id="9" w:name="_Ref60910630"/>
      <w:r>
        <w:lastRenderedPageBreak/>
        <w:t>R1-2106289, “S</w:t>
      </w:r>
      <w:r w:rsidRPr="00D719CB">
        <w:t>ummary #</w:t>
      </w:r>
      <w:r>
        <w:t>4</w:t>
      </w:r>
      <w:r w:rsidRPr="00D719CB">
        <w:t xml:space="preserve"> of AI 8.15.</w:t>
      </w:r>
      <w:r>
        <w:t>2</w:t>
      </w:r>
      <w:r w:rsidRPr="00D719CB">
        <w:t xml:space="preserve"> </w:t>
      </w:r>
      <w:r>
        <w:t>Enhancements to time and frequency synchronization”, May 2021.</w:t>
      </w:r>
      <w:bookmarkEnd w:id="6"/>
    </w:p>
    <w:p w14:paraId="3F33DA80" w14:textId="1321F04C" w:rsidR="00C12DBE" w:rsidRPr="00175F67" w:rsidRDefault="000A425A" w:rsidP="00DD443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78446270"/>
      <w:r>
        <w:t>Chairman’s Notes, 3GPP TSG RAN1 WG1 #104</w:t>
      </w:r>
      <w:r w:rsidR="002E65CD">
        <w:t>b</w:t>
      </w:r>
      <w:r>
        <w:t xml:space="preserve">-e Meeting, </w:t>
      </w:r>
      <w:r w:rsidR="002E65CD">
        <w:t>Apr</w:t>
      </w:r>
      <w:r>
        <w:t>. 2021.</w:t>
      </w:r>
      <w:bookmarkEnd w:id="7"/>
      <w:bookmarkEnd w:id="8"/>
      <w:bookmarkEnd w:id="9"/>
      <w:bookmarkEnd w:id="10"/>
    </w:p>
    <w:sectPr w:rsidR="00C12DBE"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517AC" w14:textId="77777777" w:rsidR="00B10658" w:rsidRDefault="00B10658">
      <w:r>
        <w:separator/>
      </w:r>
    </w:p>
  </w:endnote>
  <w:endnote w:type="continuationSeparator" w:id="0">
    <w:p w14:paraId="0E24614F" w14:textId="77777777" w:rsidR="00B10658" w:rsidRDefault="00B10658">
      <w:r>
        <w:continuationSeparator/>
      </w:r>
    </w:p>
  </w:endnote>
  <w:endnote w:type="continuationNotice" w:id="1">
    <w:p w14:paraId="6D3C544B" w14:textId="77777777" w:rsidR="00B10658" w:rsidRDefault="00B1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A8949" w14:textId="77777777" w:rsidR="00B10658" w:rsidRDefault="00B10658">
      <w:r>
        <w:separator/>
      </w:r>
    </w:p>
  </w:footnote>
  <w:footnote w:type="continuationSeparator" w:id="0">
    <w:p w14:paraId="10E2BA87" w14:textId="77777777" w:rsidR="00B10658" w:rsidRDefault="00B10658">
      <w:r>
        <w:continuationSeparator/>
      </w:r>
    </w:p>
  </w:footnote>
  <w:footnote w:type="continuationNotice" w:id="1">
    <w:p w14:paraId="477EA06F" w14:textId="77777777" w:rsidR="00B10658" w:rsidRDefault="00B106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B55F23"/>
    <w:multiLevelType w:val="hybridMultilevel"/>
    <w:tmpl w:val="865A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2"/>
  </w:num>
  <w:num w:numId="6">
    <w:abstractNumId w:val="18"/>
  </w:num>
  <w:num w:numId="7">
    <w:abstractNumId w:val="25"/>
  </w:num>
  <w:num w:numId="8">
    <w:abstractNumId w:val="13"/>
  </w:num>
  <w:num w:numId="9">
    <w:abstractNumId w:val="22"/>
  </w:num>
  <w:num w:numId="10">
    <w:abstractNumId w:val="0"/>
  </w:num>
  <w:num w:numId="11">
    <w:abstractNumId w:val="29"/>
  </w:num>
  <w:num w:numId="12">
    <w:abstractNumId w:val="5"/>
  </w:num>
  <w:num w:numId="13">
    <w:abstractNumId w:val="24"/>
  </w:num>
  <w:num w:numId="14">
    <w:abstractNumId w:val="17"/>
  </w:num>
  <w:num w:numId="15">
    <w:abstractNumId w:val="34"/>
  </w:num>
  <w:num w:numId="16">
    <w:abstractNumId w:val="38"/>
  </w:num>
  <w:num w:numId="17">
    <w:abstractNumId w:val="11"/>
  </w:num>
  <w:num w:numId="18">
    <w:abstractNumId w:val="28"/>
  </w:num>
  <w:num w:numId="19">
    <w:abstractNumId w:val="14"/>
  </w:num>
  <w:num w:numId="20">
    <w:abstractNumId w:val="10"/>
  </w:num>
  <w:num w:numId="21">
    <w:abstractNumId w:val="23"/>
  </w:num>
  <w:num w:numId="22">
    <w:abstractNumId w:val="6"/>
  </w:num>
  <w:num w:numId="23">
    <w:abstractNumId w:val="21"/>
  </w:num>
  <w:num w:numId="24">
    <w:abstractNumId w:val="3"/>
  </w:num>
  <w:num w:numId="25">
    <w:abstractNumId w:val="8"/>
  </w:num>
  <w:num w:numId="26">
    <w:abstractNumId w:val="35"/>
  </w:num>
  <w:num w:numId="27">
    <w:abstractNumId w:val="2"/>
  </w:num>
  <w:num w:numId="28">
    <w:abstractNumId w:val="9"/>
  </w:num>
  <w:num w:numId="29">
    <w:abstractNumId w:val="33"/>
  </w:num>
  <w:num w:numId="30">
    <w:abstractNumId w:val="4"/>
  </w:num>
  <w:num w:numId="31">
    <w:abstractNumId w:val="27"/>
  </w:num>
  <w:num w:numId="32">
    <w:abstractNumId w:val="37"/>
  </w:num>
  <w:num w:numId="33">
    <w:abstractNumId w:val="30"/>
  </w:num>
  <w:num w:numId="34">
    <w:abstractNumId w:val="32"/>
  </w:num>
  <w:num w:numId="35">
    <w:abstractNumId w:val="26"/>
  </w:num>
  <w:num w:numId="36">
    <w:abstractNumId w:val="31"/>
  </w:num>
  <w:num w:numId="37">
    <w:abstractNumId w:val="36"/>
  </w:num>
  <w:num w:numId="38">
    <w:abstractNumId w:val="7"/>
  </w:num>
  <w:num w:numId="3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6E9"/>
    <w:rsid w:val="00057C12"/>
    <w:rsid w:val="0006008B"/>
    <w:rsid w:val="0006036B"/>
    <w:rsid w:val="0006081F"/>
    <w:rsid w:val="000608BD"/>
    <w:rsid w:val="00060AC4"/>
    <w:rsid w:val="00061414"/>
    <w:rsid w:val="00061485"/>
    <w:rsid w:val="0006157B"/>
    <w:rsid w:val="000616E7"/>
    <w:rsid w:val="000622A6"/>
    <w:rsid w:val="000626CA"/>
    <w:rsid w:val="00062F30"/>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19F"/>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F0"/>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A5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51"/>
    <w:rsid w:val="00283FA1"/>
    <w:rsid w:val="00284812"/>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5CD"/>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4755"/>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50E"/>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75F"/>
    <w:rsid w:val="00574915"/>
    <w:rsid w:val="0057509A"/>
    <w:rsid w:val="00575394"/>
    <w:rsid w:val="0057575D"/>
    <w:rsid w:val="00575B0F"/>
    <w:rsid w:val="00575DBA"/>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2F07"/>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B9F"/>
    <w:rsid w:val="005F70BD"/>
    <w:rsid w:val="005F7943"/>
    <w:rsid w:val="006007DD"/>
    <w:rsid w:val="0060080E"/>
    <w:rsid w:val="0060082B"/>
    <w:rsid w:val="00600BB2"/>
    <w:rsid w:val="00601161"/>
    <w:rsid w:val="0060121B"/>
    <w:rsid w:val="0060179E"/>
    <w:rsid w:val="0060283C"/>
    <w:rsid w:val="00604443"/>
    <w:rsid w:val="00604BA5"/>
    <w:rsid w:val="00604C48"/>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D24"/>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0FF"/>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2B8E"/>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8F4"/>
    <w:rsid w:val="00754966"/>
    <w:rsid w:val="00754C5E"/>
    <w:rsid w:val="007552B3"/>
    <w:rsid w:val="00755349"/>
    <w:rsid w:val="007556C9"/>
    <w:rsid w:val="00755882"/>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2A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0E"/>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712"/>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35"/>
    <w:rsid w:val="008E5FD1"/>
    <w:rsid w:val="008E6605"/>
    <w:rsid w:val="008E7303"/>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0A0"/>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321"/>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345"/>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3218"/>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EA0"/>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658"/>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18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18"/>
    <w:rsid w:val="00BC0D49"/>
    <w:rsid w:val="00BC0FDC"/>
    <w:rsid w:val="00BC1082"/>
    <w:rsid w:val="00BC16D9"/>
    <w:rsid w:val="00BC1D4A"/>
    <w:rsid w:val="00BC1F30"/>
    <w:rsid w:val="00BC24C0"/>
    <w:rsid w:val="00BC25AA"/>
    <w:rsid w:val="00BC2677"/>
    <w:rsid w:val="00BC3005"/>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071"/>
    <w:rsid w:val="00C05706"/>
    <w:rsid w:val="00C05E8E"/>
    <w:rsid w:val="00C06082"/>
    <w:rsid w:val="00C06605"/>
    <w:rsid w:val="00C06AD5"/>
    <w:rsid w:val="00C07377"/>
    <w:rsid w:val="00C07ACA"/>
    <w:rsid w:val="00C10283"/>
    <w:rsid w:val="00C10478"/>
    <w:rsid w:val="00C10590"/>
    <w:rsid w:val="00C119F4"/>
    <w:rsid w:val="00C12107"/>
    <w:rsid w:val="00C12978"/>
    <w:rsid w:val="00C12DBE"/>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B11"/>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150"/>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932"/>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6FE"/>
    <w:rsid w:val="00D74AEC"/>
    <w:rsid w:val="00D75936"/>
    <w:rsid w:val="00D7751A"/>
    <w:rsid w:val="00D77B1D"/>
    <w:rsid w:val="00D77E60"/>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3E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43F"/>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0BD"/>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DB3"/>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306"/>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1574"/>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4</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2021-08-06T00:52:00Z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